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331D7" w14:textId="77777777" w:rsidR="00BE0F3D" w:rsidRPr="00BE0F3D" w:rsidRDefault="00BE0F3D" w:rsidP="00BE0F3D">
      <w:pPr>
        <w:shd w:val="clear" w:color="auto" w:fill="FBFAFA"/>
        <w:spacing w:after="300" w:line="240" w:lineRule="auto"/>
        <w:outlineLvl w:val="0"/>
        <w:rPr>
          <w:rFonts w:ascii="Arial" w:eastAsia="Times New Roman" w:hAnsi="Arial" w:cs="Arial"/>
          <w:b/>
          <w:bCs/>
          <w:color w:val="313336"/>
          <w:kern w:val="36"/>
          <w:sz w:val="64"/>
          <w:szCs w:val="64"/>
          <w:lang w:eastAsia="fr-FR"/>
        </w:rPr>
      </w:pPr>
      <w:r w:rsidRPr="00BE0F3D">
        <w:rPr>
          <w:rFonts w:ascii="Arial" w:eastAsia="Times New Roman" w:hAnsi="Arial" w:cs="Arial"/>
          <w:b/>
          <w:bCs/>
          <w:color w:val="313336"/>
          <w:kern w:val="36"/>
          <w:sz w:val="64"/>
          <w:szCs w:val="64"/>
          <w:lang w:eastAsia="fr-FR"/>
        </w:rPr>
        <w:t>Un enjeu d’humanité</w:t>
      </w:r>
    </w:p>
    <w:p w14:paraId="46ABDDF8" w14:textId="77777777" w:rsidR="00BE0F3D" w:rsidRPr="00BE0F3D" w:rsidRDefault="00BE0F3D" w:rsidP="00BE0F3D">
      <w:pPr>
        <w:shd w:val="clear" w:color="auto" w:fill="FBFAFA"/>
        <w:spacing w:after="0" w:line="300" w:lineRule="atLeast"/>
        <w:rPr>
          <w:rFonts w:ascii="Arial" w:eastAsia="Times New Roman" w:hAnsi="Arial" w:cs="Arial"/>
          <w:color w:val="313336"/>
          <w:sz w:val="19"/>
          <w:szCs w:val="19"/>
          <w:lang w:eastAsia="fr-FR"/>
        </w:rPr>
      </w:pPr>
      <w:r w:rsidRPr="00BE0F3D">
        <w:rPr>
          <w:rFonts w:ascii="Arial" w:eastAsia="Times New Roman" w:hAnsi="Arial" w:cs="Arial"/>
          <w:color w:val="313336"/>
          <w:sz w:val="19"/>
          <w:szCs w:val="19"/>
          <w:lang w:eastAsia="fr-FR"/>
        </w:rPr>
        <w:t> </w:t>
      </w:r>
    </w:p>
    <w:p w14:paraId="4A6F5D44" w14:textId="77777777" w:rsidR="00BE0F3D" w:rsidRPr="00BE0F3D" w:rsidRDefault="00BE0F3D" w:rsidP="00BE0F3D">
      <w:pPr>
        <w:shd w:val="clear" w:color="auto" w:fill="FBFAFA"/>
        <w:spacing w:line="300" w:lineRule="atLeast"/>
        <w:rPr>
          <w:rFonts w:ascii="Arial" w:eastAsia="Times New Roman" w:hAnsi="Arial" w:cs="Arial"/>
          <w:color w:val="313336"/>
          <w:sz w:val="19"/>
          <w:szCs w:val="19"/>
          <w:lang w:eastAsia="fr-FR"/>
        </w:rPr>
      </w:pPr>
      <w:r w:rsidRPr="00BE0F3D">
        <w:rPr>
          <w:rFonts w:ascii="Arial" w:eastAsia="Times New Roman" w:hAnsi="Arial" w:cs="Arial"/>
          <w:color w:val="313336"/>
          <w:sz w:val="19"/>
          <w:szCs w:val="19"/>
          <w:lang w:eastAsia="fr-FR"/>
        </w:rPr>
        <w:t> </w:t>
      </w:r>
    </w:p>
    <w:p w14:paraId="2D59E24E" w14:textId="77777777" w:rsidR="00BE0F3D" w:rsidRPr="00BE0F3D" w:rsidRDefault="00BE0F3D" w:rsidP="00BE0F3D">
      <w:pPr>
        <w:shd w:val="clear" w:color="auto" w:fill="FBFAFA"/>
        <w:spacing w:after="0" w:line="240" w:lineRule="auto"/>
        <w:jc w:val="both"/>
        <w:rPr>
          <w:rFonts w:ascii="Arial" w:eastAsia="Times New Roman" w:hAnsi="Arial" w:cs="Arial"/>
          <w:color w:val="313336"/>
          <w:sz w:val="23"/>
          <w:szCs w:val="23"/>
          <w:lang w:eastAsia="fr-FR"/>
        </w:rPr>
      </w:pPr>
      <w:r w:rsidRPr="00BE0F3D">
        <w:rPr>
          <w:rFonts w:ascii="Arial" w:eastAsia="Times New Roman" w:hAnsi="Arial" w:cs="Arial"/>
          <w:color w:val="313336"/>
          <w:sz w:val="23"/>
          <w:szCs w:val="23"/>
          <w:lang w:eastAsia="fr-FR"/>
        </w:rPr>
        <w:t>L’</w:t>
      </w:r>
      <w:proofErr w:type="spellStart"/>
      <w:r w:rsidRPr="00BE0F3D">
        <w:rPr>
          <w:rFonts w:ascii="Arial" w:eastAsia="Times New Roman" w:hAnsi="Arial" w:cs="Arial"/>
          <w:color w:val="313336"/>
          <w:sz w:val="23"/>
          <w:szCs w:val="23"/>
          <w:lang w:eastAsia="fr-FR"/>
        </w:rPr>
        <w:t>Eglise</w:t>
      </w:r>
      <w:proofErr w:type="spellEnd"/>
      <w:r w:rsidRPr="00BE0F3D">
        <w:rPr>
          <w:rFonts w:ascii="Arial" w:eastAsia="Times New Roman" w:hAnsi="Arial" w:cs="Arial"/>
          <w:color w:val="313336"/>
          <w:sz w:val="23"/>
          <w:szCs w:val="23"/>
          <w:lang w:eastAsia="fr-FR"/>
        </w:rPr>
        <w:t xml:space="preserve"> a toujours été présente aux débats qui touchent, d’une façon ou d’une autre, à la dignité de la personne humaine. Cette présence est constitutive de sa mission au service de l’homme en tant que « </w:t>
      </w:r>
      <w:r w:rsidRPr="00BE0F3D">
        <w:rPr>
          <w:rFonts w:ascii="Arial" w:eastAsia="Times New Roman" w:hAnsi="Arial" w:cs="Arial"/>
          <w:i/>
          <w:iCs/>
          <w:color w:val="313336"/>
          <w:sz w:val="23"/>
          <w:szCs w:val="23"/>
          <w:bdr w:val="none" w:sz="0" w:space="0" w:color="auto" w:frame="1"/>
          <w:lang w:eastAsia="fr-FR"/>
        </w:rPr>
        <w:t>route fondamentale de l’Église.[1]</w:t>
      </w:r>
      <w:r w:rsidRPr="00BE0F3D">
        <w:rPr>
          <w:rFonts w:ascii="Arial" w:eastAsia="Times New Roman" w:hAnsi="Arial" w:cs="Arial"/>
          <w:color w:val="313336"/>
          <w:sz w:val="23"/>
          <w:szCs w:val="23"/>
          <w:lang w:eastAsia="fr-FR"/>
        </w:rPr>
        <w:t> » Selon la belle expression du </w:t>
      </w:r>
      <w:hyperlink r:id="rId5" w:tooltip="Réunion de l'ensemble des évêques." w:history="1">
        <w:r w:rsidRPr="00BE0F3D">
          <w:rPr>
            <w:rFonts w:ascii="Arial" w:eastAsia="Times New Roman" w:hAnsi="Arial" w:cs="Arial"/>
            <w:color w:val="1E3A62"/>
            <w:sz w:val="23"/>
            <w:szCs w:val="23"/>
            <w:u w:val="single"/>
            <w:bdr w:val="none" w:sz="0" w:space="0" w:color="auto" w:frame="1"/>
            <w:lang w:eastAsia="fr-FR"/>
          </w:rPr>
          <w:t>Concile</w:t>
        </w:r>
      </w:hyperlink>
      <w:r w:rsidRPr="00BE0F3D">
        <w:rPr>
          <w:rFonts w:ascii="Arial" w:eastAsia="Times New Roman" w:hAnsi="Arial" w:cs="Arial"/>
          <w:color w:val="313336"/>
          <w:sz w:val="23"/>
          <w:szCs w:val="23"/>
          <w:lang w:eastAsia="fr-FR"/>
        </w:rPr>
        <w:t> </w:t>
      </w:r>
      <w:hyperlink r:id="rId6" w:tooltip="Concile oecuménique ouvert par le pape Jean XXIII qui réunit à Rome tous les évêques du monde." w:history="1">
        <w:r w:rsidRPr="00BE0F3D">
          <w:rPr>
            <w:rFonts w:ascii="Arial" w:eastAsia="Times New Roman" w:hAnsi="Arial" w:cs="Arial"/>
            <w:color w:val="1E3A62"/>
            <w:sz w:val="23"/>
            <w:szCs w:val="23"/>
            <w:u w:val="single"/>
            <w:bdr w:val="none" w:sz="0" w:space="0" w:color="auto" w:frame="1"/>
            <w:lang w:eastAsia="fr-FR"/>
          </w:rPr>
          <w:t>Vatican II</w:t>
        </w:r>
      </w:hyperlink>
      <w:r w:rsidRPr="00BE0F3D">
        <w:rPr>
          <w:rFonts w:ascii="Arial" w:eastAsia="Times New Roman" w:hAnsi="Arial" w:cs="Arial"/>
          <w:color w:val="313336"/>
          <w:sz w:val="23"/>
          <w:szCs w:val="23"/>
          <w:lang w:eastAsia="fr-FR"/>
        </w:rPr>
        <w:t>, « </w:t>
      </w:r>
      <w:r w:rsidRPr="00BE0F3D">
        <w:rPr>
          <w:rFonts w:ascii="Arial" w:eastAsia="Times New Roman" w:hAnsi="Arial" w:cs="Arial"/>
          <w:i/>
          <w:iCs/>
          <w:color w:val="313336"/>
          <w:sz w:val="23"/>
          <w:szCs w:val="23"/>
          <w:bdr w:val="none" w:sz="0" w:space="0" w:color="auto" w:frame="1"/>
          <w:lang w:eastAsia="fr-FR"/>
        </w:rPr>
        <w:t>il n’est rien de vraiment humain qui ne trouve écho </w:t>
      </w:r>
      <w:r w:rsidRPr="00BE0F3D">
        <w:rPr>
          <w:rFonts w:ascii="Arial" w:eastAsia="Times New Roman" w:hAnsi="Arial" w:cs="Arial"/>
          <w:color w:val="313336"/>
          <w:sz w:val="23"/>
          <w:szCs w:val="23"/>
          <w:lang w:eastAsia="fr-FR"/>
        </w:rPr>
        <w:t>[2] » dans le cœur des chrétiens. Bien des questions ont ainsi résonné dans le cœur de l’Église au fil des siècles, telle la « question sociale » du XIXème siècle qui a conduit Léon XIII à publier l’</w:t>
      </w:r>
      <w:hyperlink r:id="rId7" w:tooltip="Lettre solennelle du Pape adressée à l'Eglise catholique." w:history="1">
        <w:r w:rsidRPr="00BE0F3D">
          <w:rPr>
            <w:rFonts w:ascii="Arial" w:eastAsia="Times New Roman" w:hAnsi="Arial" w:cs="Arial"/>
            <w:color w:val="1E3A62"/>
            <w:sz w:val="23"/>
            <w:szCs w:val="23"/>
            <w:u w:val="single"/>
            <w:bdr w:val="none" w:sz="0" w:space="0" w:color="auto" w:frame="1"/>
            <w:lang w:eastAsia="fr-FR"/>
          </w:rPr>
          <w:t>encyclique</w:t>
        </w:r>
      </w:hyperlink>
      <w:r w:rsidRPr="00BE0F3D">
        <w:rPr>
          <w:rFonts w:ascii="Arial" w:eastAsia="Times New Roman" w:hAnsi="Arial" w:cs="Arial"/>
          <w:color w:val="313336"/>
          <w:sz w:val="23"/>
          <w:szCs w:val="23"/>
          <w:lang w:eastAsia="fr-FR"/>
        </w:rPr>
        <w:t> </w:t>
      </w:r>
      <w:proofErr w:type="spellStart"/>
      <w:r w:rsidRPr="00BE0F3D">
        <w:rPr>
          <w:rFonts w:ascii="Arial" w:eastAsia="Times New Roman" w:hAnsi="Arial" w:cs="Arial"/>
          <w:i/>
          <w:iCs/>
          <w:color w:val="313336"/>
          <w:sz w:val="23"/>
          <w:szCs w:val="23"/>
          <w:bdr w:val="none" w:sz="0" w:space="0" w:color="auto" w:frame="1"/>
          <w:lang w:eastAsia="fr-FR"/>
        </w:rPr>
        <w:t>Rerum</w:t>
      </w:r>
      <w:proofErr w:type="spellEnd"/>
      <w:r w:rsidRPr="00BE0F3D">
        <w:rPr>
          <w:rFonts w:ascii="Arial" w:eastAsia="Times New Roman" w:hAnsi="Arial" w:cs="Arial"/>
          <w:i/>
          <w:iCs/>
          <w:color w:val="313336"/>
          <w:sz w:val="23"/>
          <w:szCs w:val="23"/>
          <w:bdr w:val="none" w:sz="0" w:space="0" w:color="auto" w:frame="1"/>
          <w:lang w:eastAsia="fr-FR"/>
        </w:rPr>
        <w:t xml:space="preserve"> </w:t>
      </w:r>
      <w:proofErr w:type="spellStart"/>
      <w:r w:rsidRPr="00BE0F3D">
        <w:rPr>
          <w:rFonts w:ascii="Arial" w:eastAsia="Times New Roman" w:hAnsi="Arial" w:cs="Arial"/>
          <w:i/>
          <w:iCs/>
          <w:color w:val="313336"/>
          <w:sz w:val="23"/>
          <w:szCs w:val="23"/>
          <w:bdr w:val="none" w:sz="0" w:space="0" w:color="auto" w:frame="1"/>
          <w:lang w:eastAsia="fr-FR"/>
        </w:rPr>
        <w:t>novarum</w:t>
      </w:r>
      <w:proofErr w:type="spellEnd"/>
      <w:r w:rsidRPr="00BE0F3D">
        <w:rPr>
          <w:rFonts w:ascii="Arial" w:eastAsia="Times New Roman" w:hAnsi="Arial" w:cs="Arial"/>
          <w:color w:val="313336"/>
          <w:sz w:val="23"/>
          <w:szCs w:val="23"/>
          <w:lang w:eastAsia="fr-FR"/>
        </w:rPr>
        <w:t> (1891), véritable acte fondateur de la Doctrine sociale de l’Église.</w:t>
      </w:r>
    </w:p>
    <w:p w14:paraId="6C4B93B0" w14:textId="77777777" w:rsidR="00BE0F3D" w:rsidRPr="00BE0F3D" w:rsidRDefault="00BE0F3D" w:rsidP="00BE0F3D">
      <w:pPr>
        <w:shd w:val="clear" w:color="auto" w:fill="FBFAFA"/>
        <w:spacing w:after="300" w:line="240" w:lineRule="auto"/>
        <w:jc w:val="both"/>
        <w:rPr>
          <w:rFonts w:ascii="Arial" w:eastAsia="Times New Roman" w:hAnsi="Arial" w:cs="Arial"/>
          <w:color w:val="313336"/>
          <w:sz w:val="23"/>
          <w:szCs w:val="23"/>
          <w:lang w:eastAsia="fr-FR"/>
        </w:rPr>
      </w:pPr>
      <w:r w:rsidRPr="00BE0F3D">
        <w:rPr>
          <w:rFonts w:ascii="Arial" w:eastAsia="Times New Roman" w:hAnsi="Arial" w:cs="Arial"/>
          <w:color w:val="313336"/>
          <w:sz w:val="23"/>
          <w:szCs w:val="23"/>
          <w:lang w:eastAsia="fr-FR"/>
        </w:rPr>
        <w:t>Depuis quelques décennies, une nouvelle « question sociale » a émergé en lien avec le développement des biotechnologies dans la mesure où elles risquent de forger une certaine conception de l’homme et de la société. Tout en encourageant les progrès des sciences biomédicales qui ouvrent de nouvelles perspectives thérapeutiques [3], l’Église nous invite à un discernement. Il s’agit d’interroger le sens même de ces progrès d’autant qu’ils élargissent sans cesse le champ des possibles ; la question peut ainsi se poser en ces termes : tout ce qui techniquement possible est-il recevable du point de vue éthique ? En d’autres termes, quelles sont les limites à fixer aux progrès de la biotechnologie ? Notre responsabilité se trouve ainsi engagée si nous voulons que ces progrès demeurent au service de la personne humaine dans le respect de sa dignité inaliénable, et tout particulièrement des plus vulnérables : l’enfant à naître, les parents touchés par l’infertilité, la personne malade ou porteuse d’un handicap… C’est donc à un enjeu d’humanité que nous sommes confrontés.</w:t>
      </w:r>
    </w:p>
    <w:p w14:paraId="2A6DC079" w14:textId="77777777" w:rsidR="00BE0F3D" w:rsidRPr="00BE0F3D" w:rsidRDefault="00BE0F3D" w:rsidP="00BE0F3D">
      <w:pPr>
        <w:shd w:val="clear" w:color="auto" w:fill="FBFAFA"/>
        <w:spacing w:after="300" w:line="240" w:lineRule="auto"/>
        <w:jc w:val="both"/>
        <w:rPr>
          <w:rFonts w:ascii="Arial" w:eastAsia="Times New Roman" w:hAnsi="Arial" w:cs="Arial"/>
          <w:color w:val="313336"/>
          <w:sz w:val="23"/>
          <w:szCs w:val="23"/>
          <w:lang w:eastAsia="fr-FR"/>
        </w:rPr>
      </w:pPr>
      <w:r w:rsidRPr="00BE0F3D">
        <w:rPr>
          <w:rFonts w:ascii="Arial" w:eastAsia="Times New Roman" w:hAnsi="Arial" w:cs="Arial"/>
          <w:color w:val="313336"/>
          <w:sz w:val="23"/>
          <w:szCs w:val="23"/>
          <w:lang w:eastAsia="fr-FR"/>
        </w:rPr>
        <w:t>Sans chercher à formuler des solutions « toutes faites » à des questions aussi complexes touchant à la souffrance, l’Église propose des repères en vue d’un discernement personnel, en conscience. Tel est le sens des documents présentés dans cette rubrique du site. Ils expriment le point de vue de l’Église et sa contribution au débat sur les différentes questions de bioéthique : la recherche sur l’embryon, l’avortement, la procréation médicalement assistée, la gestation pour autrui, le don d’organes, le diagnostic prénatal, etc.</w:t>
      </w:r>
    </w:p>
    <w:p w14:paraId="4F7DAD69" w14:textId="77777777" w:rsidR="00BE0F3D" w:rsidRPr="00BE0F3D" w:rsidRDefault="00BE0F3D" w:rsidP="00BE0F3D">
      <w:pPr>
        <w:shd w:val="clear" w:color="auto" w:fill="FBFAFA"/>
        <w:spacing w:after="0" w:line="240" w:lineRule="auto"/>
        <w:jc w:val="both"/>
        <w:rPr>
          <w:rFonts w:ascii="Arial" w:eastAsia="Times New Roman" w:hAnsi="Arial" w:cs="Arial"/>
          <w:color w:val="313336"/>
          <w:sz w:val="23"/>
          <w:szCs w:val="23"/>
          <w:lang w:eastAsia="fr-FR"/>
        </w:rPr>
      </w:pPr>
      <w:r w:rsidRPr="00BE0F3D">
        <w:rPr>
          <w:rFonts w:ascii="Arial" w:eastAsia="Times New Roman" w:hAnsi="Arial" w:cs="Arial"/>
          <w:color w:val="313336"/>
          <w:sz w:val="23"/>
          <w:szCs w:val="23"/>
          <w:lang w:eastAsia="fr-FR"/>
        </w:rPr>
        <w:t>Notons que si cette contribution est éclairée par la foi, elle est également fondée en raison, elle est à ce titre accessible à toute personne, croyante ou non. Elle peut ainsi alimenter le dialogue auquel les catholiques ont, eux aussi, à prendre part, dans le respect de leurs interlocuteurs. Loin de constituer une simple confrontation d’opinions subjectives, le dialogue est « </w:t>
      </w:r>
      <w:r w:rsidRPr="00BE0F3D">
        <w:rPr>
          <w:rFonts w:ascii="Arial" w:eastAsia="Times New Roman" w:hAnsi="Arial" w:cs="Arial"/>
          <w:i/>
          <w:iCs/>
          <w:color w:val="313336"/>
          <w:sz w:val="23"/>
          <w:szCs w:val="23"/>
          <w:bdr w:val="none" w:sz="0" w:space="0" w:color="auto" w:frame="1"/>
          <w:lang w:eastAsia="fr-FR"/>
        </w:rPr>
        <w:t>service du logos, c’est-à-dire de la vérité que les partenaires admettent ne pas confisquer mais veulent sincèrement chercher ensemble</w:t>
      </w:r>
      <w:r w:rsidRPr="00BE0F3D">
        <w:rPr>
          <w:rFonts w:ascii="Arial" w:eastAsia="Times New Roman" w:hAnsi="Arial" w:cs="Arial"/>
          <w:color w:val="313336"/>
          <w:sz w:val="23"/>
          <w:szCs w:val="23"/>
          <w:lang w:eastAsia="fr-FR"/>
        </w:rPr>
        <w:t>. [4] ». Nous avons ainsi à nous engager ensemble dans cette recherche d’une vérité qui nous dépasse et nous précède : la vérité sur l’être humain, seule mesure du progrès de la biotechnologie. Puissent les documents ci-dessous rassemblés aider chacun à mieux participer à ce dialogue « </w:t>
      </w:r>
      <w:r w:rsidRPr="00BE0F3D">
        <w:rPr>
          <w:rFonts w:ascii="Arial" w:eastAsia="Times New Roman" w:hAnsi="Arial" w:cs="Arial"/>
          <w:i/>
          <w:iCs/>
          <w:color w:val="313336"/>
          <w:sz w:val="23"/>
          <w:szCs w:val="23"/>
          <w:bdr w:val="none" w:sz="0" w:space="0" w:color="auto" w:frame="1"/>
          <w:lang w:eastAsia="fr-FR"/>
        </w:rPr>
        <w:t>qui unit l’amour à la vérité et la vérité à l’amour</w:t>
      </w:r>
      <w:r w:rsidRPr="00BE0F3D">
        <w:rPr>
          <w:rFonts w:ascii="Arial" w:eastAsia="Times New Roman" w:hAnsi="Arial" w:cs="Arial"/>
          <w:color w:val="313336"/>
          <w:sz w:val="23"/>
          <w:szCs w:val="23"/>
          <w:lang w:eastAsia="fr-FR"/>
        </w:rPr>
        <w:t>. [5] »</w:t>
      </w:r>
    </w:p>
    <w:p w14:paraId="23726B9D" w14:textId="77777777" w:rsidR="00BE0F3D" w:rsidRPr="00BE0F3D" w:rsidRDefault="00BE0F3D" w:rsidP="00BE0F3D">
      <w:pPr>
        <w:shd w:val="clear" w:color="auto" w:fill="FBFAFA"/>
        <w:spacing w:after="0" w:line="240" w:lineRule="auto"/>
        <w:jc w:val="both"/>
        <w:rPr>
          <w:rFonts w:ascii="Arial" w:eastAsia="Times New Roman" w:hAnsi="Arial" w:cs="Arial"/>
          <w:color w:val="313336"/>
          <w:sz w:val="23"/>
          <w:szCs w:val="23"/>
          <w:lang w:eastAsia="fr-FR"/>
        </w:rPr>
      </w:pPr>
      <w:r w:rsidRPr="00BE0F3D">
        <w:rPr>
          <w:rFonts w:ascii="Arial" w:eastAsia="Times New Roman" w:hAnsi="Arial" w:cs="Arial"/>
          <w:color w:val="313336"/>
          <w:sz w:val="23"/>
          <w:szCs w:val="23"/>
          <w:lang w:eastAsia="fr-FR"/>
        </w:rPr>
        <w:t>[1]    Jean-Paul II, Lettre </w:t>
      </w:r>
      <w:hyperlink r:id="rId8" w:tooltip="Lettre solennelle du Pape adressée à l'Eglise catholique." w:history="1">
        <w:r w:rsidRPr="00BE0F3D">
          <w:rPr>
            <w:rFonts w:ascii="Arial" w:eastAsia="Times New Roman" w:hAnsi="Arial" w:cs="Arial"/>
            <w:color w:val="1E3A62"/>
            <w:sz w:val="23"/>
            <w:szCs w:val="23"/>
            <w:u w:val="single"/>
            <w:bdr w:val="none" w:sz="0" w:space="0" w:color="auto" w:frame="1"/>
            <w:lang w:eastAsia="fr-FR"/>
          </w:rPr>
          <w:t>encyclique</w:t>
        </w:r>
      </w:hyperlink>
      <w:r w:rsidRPr="00BE0F3D">
        <w:rPr>
          <w:rFonts w:ascii="Arial" w:eastAsia="Times New Roman" w:hAnsi="Arial" w:cs="Arial"/>
          <w:color w:val="313336"/>
          <w:sz w:val="23"/>
          <w:szCs w:val="23"/>
          <w:lang w:eastAsia="fr-FR"/>
        </w:rPr>
        <w:t> </w:t>
      </w:r>
      <w:proofErr w:type="spellStart"/>
      <w:r w:rsidRPr="00BE0F3D">
        <w:rPr>
          <w:rFonts w:ascii="Arial" w:eastAsia="Times New Roman" w:hAnsi="Arial" w:cs="Arial"/>
          <w:i/>
          <w:iCs/>
          <w:color w:val="313336"/>
          <w:sz w:val="23"/>
          <w:szCs w:val="23"/>
          <w:bdr w:val="none" w:sz="0" w:space="0" w:color="auto" w:frame="1"/>
          <w:lang w:eastAsia="fr-FR"/>
        </w:rPr>
        <w:t>Redemptoris</w:t>
      </w:r>
      <w:proofErr w:type="spellEnd"/>
      <w:r w:rsidRPr="00BE0F3D">
        <w:rPr>
          <w:rFonts w:ascii="Arial" w:eastAsia="Times New Roman" w:hAnsi="Arial" w:cs="Arial"/>
          <w:color w:val="313336"/>
          <w:sz w:val="23"/>
          <w:szCs w:val="23"/>
          <w:lang w:eastAsia="fr-FR"/>
        </w:rPr>
        <w:t> </w:t>
      </w:r>
      <w:r w:rsidRPr="00BE0F3D">
        <w:rPr>
          <w:rFonts w:ascii="Arial" w:eastAsia="Times New Roman" w:hAnsi="Arial" w:cs="Arial"/>
          <w:i/>
          <w:iCs/>
          <w:color w:val="313336"/>
          <w:sz w:val="23"/>
          <w:szCs w:val="23"/>
          <w:bdr w:val="none" w:sz="0" w:space="0" w:color="auto" w:frame="1"/>
          <w:lang w:eastAsia="fr-FR"/>
        </w:rPr>
        <w:t>hominis</w:t>
      </w:r>
      <w:r w:rsidRPr="00BE0F3D">
        <w:rPr>
          <w:rFonts w:ascii="Arial" w:eastAsia="Times New Roman" w:hAnsi="Arial" w:cs="Arial"/>
          <w:color w:val="313336"/>
          <w:sz w:val="23"/>
          <w:szCs w:val="23"/>
          <w:lang w:eastAsia="fr-FR"/>
        </w:rPr>
        <w:t>, n. 14</w:t>
      </w:r>
    </w:p>
    <w:p w14:paraId="77973109" w14:textId="77777777" w:rsidR="00BE0F3D" w:rsidRPr="00BE0F3D" w:rsidRDefault="00BE0F3D" w:rsidP="00BE0F3D">
      <w:pPr>
        <w:shd w:val="clear" w:color="auto" w:fill="FBFAFA"/>
        <w:spacing w:after="0" w:line="240" w:lineRule="auto"/>
        <w:jc w:val="both"/>
        <w:rPr>
          <w:rFonts w:ascii="Arial" w:eastAsia="Times New Roman" w:hAnsi="Arial" w:cs="Arial"/>
          <w:color w:val="313336"/>
          <w:sz w:val="23"/>
          <w:szCs w:val="23"/>
          <w:lang w:eastAsia="fr-FR"/>
        </w:rPr>
      </w:pPr>
      <w:r w:rsidRPr="00BE0F3D">
        <w:rPr>
          <w:rFonts w:ascii="Arial" w:eastAsia="Times New Roman" w:hAnsi="Arial" w:cs="Arial"/>
          <w:color w:val="313336"/>
          <w:sz w:val="23"/>
          <w:szCs w:val="23"/>
          <w:lang w:eastAsia="fr-FR"/>
        </w:rPr>
        <w:t>[2]    </w:t>
      </w:r>
      <w:hyperlink r:id="rId9" w:tooltip="Réunion de l'ensemble des évêques." w:history="1">
        <w:r w:rsidRPr="00BE0F3D">
          <w:rPr>
            <w:rFonts w:ascii="Arial" w:eastAsia="Times New Roman" w:hAnsi="Arial" w:cs="Arial"/>
            <w:color w:val="1E3A62"/>
            <w:sz w:val="23"/>
            <w:szCs w:val="23"/>
            <w:u w:val="single"/>
            <w:bdr w:val="none" w:sz="0" w:space="0" w:color="auto" w:frame="1"/>
            <w:lang w:eastAsia="fr-FR"/>
          </w:rPr>
          <w:t>Concile</w:t>
        </w:r>
      </w:hyperlink>
      <w:r w:rsidRPr="00BE0F3D">
        <w:rPr>
          <w:rFonts w:ascii="Arial" w:eastAsia="Times New Roman" w:hAnsi="Arial" w:cs="Arial"/>
          <w:color w:val="313336"/>
          <w:sz w:val="23"/>
          <w:szCs w:val="23"/>
          <w:lang w:eastAsia="fr-FR"/>
        </w:rPr>
        <w:t> </w:t>
      </w:r>
      <w:hyperlink r:id="rId10" w:tooltip="Concile oecuménique ouvert par le pape Jean XXIII qui réunit à Rome tous les évêques du monde." w:history="1">
        <w:r w:rsidRPr="00BE0F3D">
          <w:rPr>
            <w:rFonts w:ascii="Arial" w:eastAsia="Times New Roman" w:hAnsi="Arial" w:cs="Arial"/>
            <w:color w:val="1E3A62"/>
            <w:sz w:val="23"/>
            <w:szCs w:val="23"/>
            <w:u w:val="single"/>
            <w:bdr w:val="none" w:sz="0" w:space="0" w:color="auto" w:frame="1"/>
            <w:lang w:eastAsia="fr-FR"/>
          </w:rPr>
          <w:t>Vatican II</w:t>
        </w:r>
      </w:hyperlink>
      <w:r w:rsidRPr="00BE0F3D">
        <w:rPr>
          <w:rFonts w:ascii="Arial" w:eastAsia="Times New Roman" w:hAnsi="Arial" w:cs="Arial"/>
          <w:color w:val="313336"/>
          <w:sz w:val="23"/>
          <w:szCs w:val="23"/>
          <w:lang w:eastAsia="fr-FR"/>
        </w:rPr>
        <w:t>, Constitution pastorale </w:t>
      </w:r>
      <w:proofErr w:type="spellStart"/>
      <w:r w:rsidRPr="00BE0F3D">
        <w:rPr>
          <w:rFonts w:ascii="Arial" w:eastAsia="Times New Roman" w:hAnsi="Arial" w:cs="Arial"/>
          <w:i/>
          <w:iCs/>
          <w:color w:val="313336"/>
          <w:sz w:val="23"/>
          <w:szCs w:val="23"/>
          <w:bdr w:val="none" w:sz="0" w:space="0" w:color="auto" w:frame="1"/>
          <w:lang w:eastAsia="fr-FR"/>
        </w:rPr>
        <w:t>Gaudium</w:t>
      </w:r>
      <w:proofErr w:type="spellEnd"/>
      <w:r w:rsidRPr="00BE0F3D">
        <w:rPr>
          <w:rFonts w:ascii="Arial" w:eastAsia="Times New Roman" w:hAnsi="Arial" w:cs="Arial"/>
          <w:i/>
          <w:iCs/>
          <w:color w:val="313336"/>
          <w:sz w:val="23"/>
          <w:szCs w:val="23"/>
          <w:bdr w:val="none" w:sz="0" w:space="0" w:color="auto" w:frame="1"/>
          <w:lang w:eastAsia="fr-FR"/>
        </w:rPr>
        <w:t xml:space="preserve"> et spes</w:t>
      </w:r>
      <w:r w:rsidRPr="00BE0F3D">
        <w:rPr>
          <w:rFonts w:ascii="Arial" w:eastAsia="Times New Roman" w:hAnsi="Arial" w:cs="Arial"/>
          <w:color w:val="313336"/>
          <w:sz w:val="23"/>
          <w:szCs w:val="23"/>
          <w:lang w:eastAsia="fr-FR"/>
        </w:rPr>
        <w:t>, n. 1</w:t>
      </w:r>
    </w:p>
    <w:p w14:paraId="7E411FA6" w14:textId="77777777" w:rsidR="00BE0F3D" w:rsidRPr="00BE0F3D" w:rsidRDefault="00BE0F3D" w:rsidP="00BE0F3D">
      <w:pPr>
        <w:shd w:val="clear" w:color="auto" w:fill="FBFAFA"/>
        <w:spacing w:after="300" w:line="240" w:lineRule="auto"/>
        <w:jc w:val="both"/>
        <w:rPr>
          <w:rFonts w:ascii="Arial" w:eastAsia="Times New Roman" w:hAnsi="Arial" w:cs="Arial"/>
          <w:color w:val="313336"/>
          <w:sz w:val="23"/>
          <w:szCs w:val="23"/>
          <w:lang w:eastAsia="fr-FR"/>
        </w:rPr>
      </w:pPr>
      <w:r w:rsidRPr="00BE0F3D">
        <w:rPr>
          <w:rFonts w:ascii="Arial" w:eastAsia="Times New Roman" w:hAnsi="Arial" w:cs="Arial"/>
          <w:color w:val="313336"/>
          <w:sz w:val="23"/>
          <w:szCs w:val="23"/>
          <w:lang w:eastAsia="fr-FR"/>
        </w:rPr>
        <w:t>[3]    Voir, à titre d’exemple, le discours de Benoît XVI du 31 janvier 2008.</w:t>
      </w:r>
    </w:p>
    <w:p w14:paraId="23682D66" w14:textId="77777777" w:rsidR="00BE0F3D" w:rsidRPr="00BE0F3D" w:rsidRDefault="00BE0F3D" w:rsidP="00BE0F3D">
      <w:pPr>
        <w:shd w:val="clear" w:color="auto" w:fill="FBFAFA"/>
        <w:spacing w:after="0" w:line="240" w:lineRule="auto"/>
        <w:jc w:val="both"/>
        <w:rPr>
          <w:rFonts w:ascii="Arial" w:eastAsia="Times New Roman" w:hAnsi="Arial" w:cs="Arial"/>
          <w:color w:val="313336"/>
          <w:sz w:val="23"/>
          <w:szCs w:val="23"/>
          <w:lang w:eastAsia="fr-FR"/>
        </w:rPr>
      </w:pPr>
      <w:r w:rsidRPr="00BE0F3D">
        <w:rPr>
          <w:rFonts w:ascii="Arial" w:eastAsia="Times New Roman" w:hAnsi="Arial" w:cs="Arial"/>
          <w:color w:val="313336"/>
          <w:sz w:val="23"/>
          <w:szCs w:val="23"/>
          <w:lang w:eastAsia="fr-FR"/>
        </w:rPr>
        <w:lastRenderedPageBreak/>
        <w:t>[4]    Mgr Pierre d’</w:t>
      </w:r>
      <w:proofErr w:type="spellStart"/>
      <w:r w:rsidRPr="00BE0F3D">
        <w:rPr>
          <w:rFonts w:ascii="Arial" w:eastAsia="Times New Roman" w:hAnsi="Arial" w:cs="Arial"/>
          <w:color w:val="313336"/>
          <w:sz w:val="23"/>
          <w:szCs w:val="23"/>
          <w:lang w:eastAsia="fr-FR"/>
        </w:rPr>
        <w:t>Ornellas</w:t>
      </w:r>
      <w:proofErr w:type="spellEnd"/>
      <w:r w:rsidRPr="00BE0F3D">
        <w:rPr>
          <w:rFonts w:ascii="Arial" w:eastAsia="Times New Roman" w:hAnsi="Arial" w:cs="Arial"/>
          <w:color w:val="313336"/>
          <w:sz w:val="23"/>
          <w:szCs w:val="23"/>
          <w:lang w:eastAsia="fr-FR"/>
        </w:rPr>
        <w:t> </w:t>
      </w:r>
      <w:r w:rsidRPr="00BE0F3D">
        <w:rPr>
          <w:rFonts w:ascii="Arial" w:eastAsia="Times New Roman" w:hAnsi="Arial" w:cs="Arial"/>
          <w:i/>
          <w:iCs/>
          <w:color w:val="313336"/>
          <w:sz w:val="23"/>
          <w:szCs w:val="23"/>
          <w:bdr w:val="none" w:sz="0" w:space="0" w:color="auto" w:frame="1"/>
          <w:lang w:eastAsia="fr-FR"/>
        </w:rPr>
        <w:t xml:space="preserve">et </w:t>
      </w:r>
      <w:proofErr w:type="spellStart"/>
      <w:r w:rsidRPr="00BE0F3D">
        <w:rPr>
          <w:rFonts w:ascii="Arial" w:eastAsia="Times New Roman" w:hAnsi="Arial" w:cs="Arial"/>
          <w:i/>
          <w:iCs/>
          <w:color w:val="313336"/>
          <w:sz w:val="23"/>
          <w:szCs w:val="23"/>
          <w:bdr w:val="none" w:sz="0" w:space="0" w:color="auto" w:frame="1"/>
          <w:lang w:eastAsia="fr-FR"/>
        </w:rPr>
        <w:t>allii</w:t>
      </w:r>
      <w:proofErr w:type="spellEnd"/>
      <w:r w:rsidRPr="00BE0F3D">
        <w:rPr>
          <w:rFonts w:ascii="Arial" w:eastAsia="Times New Roman" w:hAnsi="Arial" w:cs="Arial"/>
          <w:i/>
          <w:iCs/>
          <w:color w:val="313336"/>
          <w:sz w:val="23"/>
          <w:szCs w:val="23"/>
          <w:bdr w:val="none" w:sz="0" w:space="0" w:color="auto" w:frame="1"/>
          <w:lang w:eastAsia="fr-FR"/>
        </w:rPr>
        <w:t>, Questions pour un discernement</w:t>
      </w:r>
      <w:r w:rsidRPr="00BE0F3D">
        <w:rPr>
          <w:rFonts w:ascii="Arial" w:eastAsia="Times New Roman" w:hAnsi="Arial" w:cs="Arial"/>
          <w:color w:val="313336"/>
          <w:sz w:val="23"/>
          <w:szCs w:val="23"/>
          <w:lang w:eastAsia="fr-FR"/>
        </w:rPr>
        <w:t xml:space="preserve">, </w:t>
      </w:r>
      <w:proofErr w:type="spellStart"/>
      <w:r w:rsidRPr="00BE0F3D">
        <w:rPr>
          <w:rFonts w:ascii="Arial" w:eastAsia="Times New Roman" w:hAnsi="Arial" w:cs="Arial"/>
          <w:color w:val="313336"/>
          <w:sz w:val="23"/>
          <w:szCs w:val="23"/>
          <w:lang w:eastAsia="fr-FR"/>
        </w:rPr>
        <w:t>Lethieulleux</w:t>
      </w:r>
      <w:proofErr w:type="spellEnd"/>
      <w:r w:rsidRPr="00BE0F3D">
        <w:rPr>
          <w:rFonts w:ascii="Arial" w:eastAsia="Times New Roman" w:hAnsi="Arial" w:cs="Arial"/>
          <w:color w:val="313336"/>
          <w:sz w:val="23"/>
          <w:szCs w:val="23"/>
          <w:lang w:eastAsia="fr-FR"/>
        </w:rPr>
        <w:t>-DDB, 2009, p. 10</w:t>
      </w:r>
    </w:p>
    <w:p w14:paraId="6EA272E6" w14:textId="77777777" w:rsidR="00BE0F3D" w:rsidRPr="00BE0F3D" w:rsidRDefault="00BE0F3D" w:rsidP="00BE0F3D">
      <w:pPr>
        <w:shd w:val="clear" w:color="auto" w:fill="FBFAFA"/>
        <w:spacing w:after="0" w:line="240" w:lineRule="auto"/>
        <w:jc w:val="both"/>
        <w:rPr>
          <w:rFonts w:ascii="Arial" w:eastAsia="Times New Roman" w:hAnsi="Arial" w:cs="Arial"/>
          <w:color w:val="313336"/>
          <w:sz w:val="23"/>
          <w:szCs w:val="23"/>
          <w:lang w:eastAsia="fr-FR"/>
        </w:rPr>
      </w:pPr>
      <w:r w:rsidRPr="00BE0F3D">
        <w:rPr>
          <w:rFonts w:ascii="Arial" w:eastAsia="Times New Roman" w:hAnsi="Arial" w:cs="Arial"/>
          <w:color w:val="313336"/>
          <w:sz w:val="23"/>
          <w:szCs w:val="23"/>
          <w:lang w:eastAsia="fr-FR"/>
        </w:rPr>
        <w:t>[5]</w:t>
      </w:r>
      <w:r w:rsidRPr="00BE0F3D">
        <w:rPr>
          <w:rFonts w:ascii="Arial" w:eastAsia="Times New Roman" w:hAnsi="Arial" w:cs="Arial"/>
          <w:i/>
          <w:iCs/>
          <w:color w:val="313336"/>
          <w:sz w:val="23"/>
          <w:szCs w:val="23"/>
          <w:bdr w:val="none" w:sz="0" w:space="0" w:color="auto" w:frame="1"/>
          <w:lang w:eastAsia="fr-FR"/>
        </w:rPr>
        <w:t xml:space="preserve">    </w:t>
      </w:r>
      <w:proofErr w:type="spellStart"/>
      <w:r w:rsidRPr="00BE0F3D">
        <w:rPr>
          <w:rFonts w:ascii="Arial" w:eastAsia="Times New Roman" w:hAnsi="Arial" w:cs="Arial"/>
          <w:i/>
          <w:iCs/>
          <w:color w:val="313336"/>
          <w:sz w:val="23"/>
          <w:szCs w:val="23"/>
          <w:bdr w:val="none" w:sz="0" w:space="0" w:color="auto" w:frame="1"/>
          <w:lang w:eastAsia="fr-FR"/>
        </w:rPr>
        <w:t>Ibid</w:t>
      </w:r>
      <w:proofErr w:type="spellEnd"/>
      <w:r w:rsidRPr="00BE0F3D">
        <w:rPr>
          <w:rFonts w:ascii="Arial" w:eastAsia="Times New Roman" w:hAnsi="Arial" w:cs="Arial"/>
          <w:color w:val="313336"/>
          <w:sz w:val="23"/>
          <w:szCs w:val="23"/>
          <w:lang w:eastAsia="fr-FR"/>
        </w:rPr>
        <w:t>, p. 11</w:t>
      </w:r>
    </w:p>
    <w:p w14:paraId="7671FCAD" w14:textId="77777777" w:rsidR="003939FE" w:rsidRDefault="003939FE"/>
    <w:sectPr w:rsidR="003939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2BA"/>
    <w:multiLevelType w:val="hybridMultilevel"/>
    <w:tmpl w:val="4276273A"/>
    <w:lvl w:ilvl="0" w:tplc="78E0BD12">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0500240"/>
    <w:multiLevelType w:val="multilevel"/>
    <w:tmpl w:val="5C84BB90"/>
    <w:lvl w:ilvl="0">
      <w:start w:val="1"/>
      <w:numFmt w:val="decimal"/>
      <w:lvlText w:val="%1."/>
      <w:lvlJc w:val="left"/>
      <w:pPr>
        <w:ind w:left="720" w:hanging="360"/>
      </w:pPr>
      <w:rPr>
        <w:rFonts w:hint="default"/>
      </w:rPr>
    </w:lvl>
    <w:lvl w:ilvl="1">
      <w:start w:val="2"/>
      <w:numFmt w:val="none"/>
      <w:isLgl/>
      <w:lvlText w:val="1.1."/>
      <w:lvlJc w:val="left"/>
      <w:pPr>
        <w:tabs>
          <w:tab w:val="num" w:pos="1077"/>
        </w:tabs>
        <w:ind w:left="1080" w:hanging="360"/>
      </w:pPr>
      <w:rPr>
        <w:rFonts w:hint="default"/>
      </w:rPr>
    </w:lvl>
    <w:lvl w:ilvl="2">
      <w:start w:val="1"/>
      <w:numFmt w:val="none"/>
      <w:isLgl/>
      <w:lvlText w:val="1.1.1."/>
      <w:lvlJc w:val="left"/>
      <w:pPr>
        <w:tabs>
          <w:tab w:val="num" w:pos="1797"/>
        </w:tabs>
        <w:ind w:left="1800" w:hanging="720"/>
      </w:pPr>
      <w:rPr>
        <w:rFonts w:hint="default"/>
      </w:rPr>
    </w:lvl>
    <w:lvl w:ilvl="3">
      <w:start w:val="1"/>
      <w:numFmt w:val="none"/>
      <w:isLgl/>
      <w:lvlText w:val="1.1.1.1."/>
      <w:lvlJc w:val="left"/>
      <w:pPr>
        <w:tabs>
          <w:tab w:val="num" w:pos="2160"/>
        </w:tabs>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F2E6EA1"/>
    <w:multiLevelType w:val="multilevel"/>
    <w:tmpl w:val="AEBABC48"/>
    <w:lvl w:ilvl="0">
      <w:start w:val="1"/>
      <w:numFmt w:val="decimal"/>
      <w:pStyle w:val="Titre1"/>
      <w:lvlText w:val="%1"/>
      <w:lvlJc w:val="left"/>
      <w:pPr>
        <w:ind w:left="432" w:hanging="432"/>
      </w:pPr>
      <w:rPr>
        <w:rFonts w:hint="default"/>
      </w:rPr>
    </w:lvl>
    <w:lvl w:ilvl="1">
      <w:start w:val="1"/>
      <w:numFmt w:val="decimal"/>
      <w:pStyle w:val="Titre2"/>
      <w:lvlText w:val="%1.%2"/>
      <w:lvlJc w:val="left"/>
      <w:pPr>
        <w:tabs>
          <w:tab w:val="num" w:pos="578"/>
        </w:tabs>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5BE150D"/>
    <w:multiLevelType w:val="multilevel"/>
    <w:tmpl w:val="BEB0F632"/>
    <w:styleLink w:val="Style3"/>
    <w:lvl w:ilvl="0">
      <w:start w:val="1"/>
      <w:numFmt w:val="decimal"/>
      <w:lvlText w:val="%1"/>
      <w:lvlJc w:val="left"/>
      <w:pPr>
        <w:ind w:left="432" w:hanging="432"/>
      </w:pPr>
      <w:rPr>
        <w:rFonts w:hint="default"/>
      </w:rPr>
    </w:lvl>
    <w:lvl w:ilvl="1">
      <w:start w:val="1"/>
      <w:numFmt w:val="decimal"/>
      <w:lvlText w:val="%1.%2"/>
      <w:lvlJc w:val="left"/>
      <w:pPr>
        <w:tabs>
          <w:tab w:val="num" w:pos="578"/>
        </w:tabs>
        <w:ind w:left="1284" w:hanging="576"/>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988"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9356383"/>
    <w:multiLevelType w:val="multilevel"/>
    <w:tmpl w:val="FD5ECD4C"/>
    <w:lvl w:ilvl="0">
      <w:start w:val="1"/>
      <w:numFmt w:val="decimal"/>
      <w:lvlText w:val="%1."/>
      <w:lvlJc w:val="left"/>
      <w:pPr>
        <w:ind w:left="720" w:hanging="360"/>
      </w:pPr>
      <w:rPr>
        <w:rFonts w:hint="default"/>
      </w:rPr>
    </w:lvl>
    <w:lvl w:ilvl="1">
      <w:start w:val="2"/>
      <w:numFmt w:val="none"/>
      <w:isLgl/>
      <w:lvlText w:val="1.1."/>
      <w:lvlJc w:val="left"/>
      <w:pPr>
        <w:tabs>
          <w:tab w:val="num" w:pos="1077"/>
        </w:tabs>
        <w:ind w:left="1080" w:hanging="360"/>
      </w:pPr>
      <w:rPr>
        <w:rFonts w:hint="default"/>
      </w:rPr>
    </w:lvl>
    <w:lvl w:ilvl="2">
      <w:start w:val="1"/>
      <w:numFmt w:val="none"/>
      <w:isLgl/>
      <w:lvlText w:val="1.1.1."/>
      <w:lvlJc w:val="left"/>
      <w:pPr>
        <w:tabs>
          <w:tab w:val="num" w:pos="1797"/>
        </w:tabs>
        <w:ind w:left="1800" w:hanging="720"/>
      </w:pPr>
      <w:rPr>
        <w:rFonts w:hint="default"/>
      </w:rPr>
    </w:lvl>
    <w:lvl w:ilvl="3">
      <w:start w:val="1"/>
      <w:numFmt w:val="none"/>
      <w:isLgl/>
      <w:lvlText w:val="1.1.1.1."/>
      <w:lvlJc w:val="left"/>
      <w:pPr>
        <w:tabs>
          <w:tab w:val="num" w:pos="2160"/>
        </w:tabs>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1"/>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0"/>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3"/>
  </w:num>
  <w:num w:numId="41">
    <w:abstractNumId w:val="2"/>
  </w:num>
  <w:num w:numId="42">
    <w:abstractNumId w:val="2"/>
  </w:num>
  <w:num w:numId="43">
    <w:abstractNumId w:val="2"/>
  </w:num>
  <w:num w:numId="44">
    <w:abstractNumId w:val="2"/>
  </w:num>
  <w:num w:numId="45">
    <w:abstractNumId w:val="2"/>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95E"/>
    <w:rsid w:val="00193728"/>
    <w:rsid w:val="001A419C"/>
    <w:rsid w:val="003163C1"/>
    <w:rsid w:val="00334AE0"/>
    <w:rsid w:val="003618AC"/>
    <w:rsid w:val="00366A8F"/>
    <w:rsid w:val="003939FE"/>
    <w:rsid w:val="0042081E"/>
    <w:rsid w:val="00446300"/>
    <w:rsid w:val="004643CB"/>
    <w:rsid w:val="00480EA9"/>
    <w:rsid w:val="00490CB3"/>
    <w:rsid w:val="005C5116"/>
    <w:rsid w:val="006549C4"/>
    <w:rsid w:val="00721966"/>
    <w:rsid w:val="00806A2A"/>
    <w:rsid w:val="00870C50"/>
    <w:rsid w:val="008B2945"/>
    <w:rsid w:val="009A52B8"/>
    <w:rsid w:val="00AF0D7C"/>
    <w:rsid w:val="00BA253E"/>
    <w:rsid w:val="00BC58A6"/>
    <w:rsid w:val="00BE0F3D"/>
    <w:rsid w:val="00CC4368"/>
    <w:rsid w:val="00E26B28"/>
    <w:rsid w:val="00E321AE"/>
    <w:rsid w:val="00E57C74"/>
    <w:rsid w:val="00F70DC2"/>
    <w:rsid w:val="00F769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1C4B6"/>
  <w15:chartTrackingRefBased/>
  <w15:docId w15:val="{3A00FF76-7015-4C2A-8AB9-A85DD60FE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B28"/>
    <w:pPr>
      <w:spacing w:after="200" w:line="288" w:lineRule="auto"/>
    </w:pPr>
    <w:rPr>
      <w:rFonts w:ascii="Calibri" w:eastAsiaTheme="minorEastAsia" w:hAnsi="Calibri"/>
      <w:sz w:val="24"/>
      <w:szCs w:val="21"/>
    </w:rPr>
  </w:style>
  <w:style w:type="paragraph" w:styleId="Titre1">
    <w:name w:val="heading 1"/>
    <w:basedOn w:val="Normal"/>
    <w:next w:val="Normal"/>
    <w:link w:val="Titre1Car"/>
    <w:autoRedefine/>
    <w:uiPriority w:val="9"/>
    <w:qFormat/>
    <w:rsid w:val="00870C50"/>
    <w:pPr>
      <w:keepNext/>
      <w:keepLines/>
      <w:numPr>
        <w:numId w:val="46"/>
      </w:numPr>
      <w:spacing w:after="0" w:line="240" w:lineRule="auto"/>
      <w:jc w:val="both"/>
      <w:outlineLvl w:val="0"/>
    </w:pPr>
    <w:rPr>
      <w:rFonts w:eastAsiaTheme="minorHAnsi" w:cstheme="majorBidi"/>
      <w:b/>
      <w:szCs w:val="32"/>
    </w:rPr>
  </w:style>
  <w:style w:type="paragraph" w:styleId="Titre2">
    <w:name w:val="heading 2"/>
    <w:basedOn w:val="Normal"/>
    <w:next w:val="Normal"/>
    <w:link w:val="Titre2Car"/>
    <w:autoRedefine/>
    <w:uiPriority w:val="9"/>
    <w:unhideWhenUsed/>
    <w:qFormat/>
    <w:rsid w:val="00870C50"/>
    <w:pPr>
      <w:keepNext/>
      <w:keepLines/>
      <w:numPr>
        <w:ilvl w:val="1"/>
        <w:numId w:val="41"/>
      </w:numPr>
      <w:spacing w:after="0" w:line="240" w:lineRule="auto"/>
      <w:ind w:left="1154"/>
      <w:jc w:val="both"/>
      <w:outlineLvl w:val="1"/>
    </w:pPr>
    <w:rPr>
      <w:rFonts w:eastAsia="Times New Roman" w:cstheme="majorBidi"/>
      <w:b/>
      <w:szCs w:val="26"/>
      <w:lang w:eastAsia="fr-FR"/>
    </w:rPr>
  </w:style>
  <w:style w:type="paragraph" w:styleId="Titre3">
    <w:name w:val="heading 3"/>
    <w:basedOn w:val="Titre2"/>
    <w:next w:val="Normal"/>
    <w:link w:val="Titre3Car"/>
    <w:autoRedefine/>
    <w:uiPriority w:val="9"/>
    <w:unhideWhenUsed/>
    <w:qFormat/>
    <w:rsid w:val="00870C50"/>
    <w:pPr>
      <w:numPr>
        <w:ilvl w:val="2"/>
        <w:numId w:val="46"/>
      </w:numPr>
      <w:outlineLvl w:val="2"/>
    </w:pPr>
  </w:style>
  <w:style w:type="paragraph" w:styleId="Titre4">
    <w:name w:val="heading 4"/>
    <w:basedOn w:val="Titre"/>
    <w:next w:val="Normal"/>
    <w:link w:val="Titre4Car"/>
    <w:autoRedefine/>
    <w:uiPriority w:val="9"/>
    <w:unhideWhenUsed/>
    <w:qFormat/>
    <w:rsid w:val="00870C50"/>
    <w:pPr>
      <w:numPr>
        <w:ilvl w:val="3"/>
        <w:numId w:val="46"/>
      </w:numPr>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0C50"/>
    <w:rPr>
      <w:rFonts w:ascii="Calibri" w:hAnsi="Calibri" w:cstheme="majorBidi"/>
      <w:b/>
      <w:sz w:val="24"/>
      <w:szCs w:val="32"/>
    </w:rPr>
  </w:style>
  <w:style w:type="character" w:customStyle="1" w:styleId="Titre2Car">
    <w:name w:val="Titre 2 Car"/>
    <w:basedOn w:val="Policepardfaut"/>
    <w:link w:val="Titre2"/>
    <w:uiPriority w:val="9"/>
    <w:rsid w:val="00870C50"/>
    <w:rPr>
      <w:rFonts w:ascii="Calibri" w:eastAsia="Times New Roman" w:hAnsi="Calibri" w:cstheme="majorBidi"/>
      <w:b/>
      <w:sz w:val="24"/>
      <w:szCs w:val="26"/>
      <w:lang w:eastAsia="fr-FR"/>
    </w:rPr>
  </w:style>
  <w:style w:type="paragraph" w:styleId="Sous-titre">
    <w:name w:val="Subtitle"/>
    <w:basedOn w:val="Normal"/>
    <w:next w:val="Normal"/>
    <w:link w:val="Sous-titreCar"/>
    <w:uiPriority w:val="11"/>
    <w:qFormat/>
    <w:rsid w:val="003163C1"/>
    <w:pPr>
      <w:spacing w:after="160"/>
    </w:pPr>
    <w:rPr>
      <w:color w:val="5A5A5A" w:themeColor="text1" w:themeTint="A5"/>
      <w:spacing w:val="15"/>
      <w:szCs w:val="22"/>
    </w:rPr>
  </w:style>
  <w:style w:type="character" w:customStyle="1" w:styleId="Sous-titreCar">
    <w:name w:val="Sous-titre Car"/>
    <w:basedOn w:val="Policepardfaut"/>
    <w:link w:val="Sous-titre"/>
    <w:uiPriority w:val="11"/>
    <w:rsid w:val="00366A8F"/>
    <w:rPr>
      <w:rFonts w:ascii="Calibri" w:eastAsiaTheme="minorEastAsia" w:hAnsi="Calibri"/>
      <w:color w:val="5A5A5A" w:themeColor="text1" w:themeTint="A5"/>
      <w:spacing w:val="15"/>
      <w:sz w:val="24"/>
    </w:rPr>
  </w:style>
  <w:style w:type="paragraph" w:styleId="Titre">
    <w:name w:val="Title"/>
    <w:basedOn w:val="Normal"/>
    <w:next w:val="Normal"/>
    <w:link w:val="TitreCar"/>
    <w:uiPriority w:val="10"/>
    <w:qFormat/>
    <w:rsid w:val="003163C1"/>
    <w:pPr>
      <w:spacing w:after="0" w:line="240" w:lineRule="auto"/>
      <w:contextualSpacing/>
    </w:pPr>
    <w:rPr>
      <w:rFonts w:eastAsiaTheme="majorEastAsia" w:cstheme="majorBidi"/>
      <w:spacing w:val="-10"/>
      <w:kern w:val="28"/>
      <w:szCs w:val="56"/>
    </w:rPr>
  </w:style>
  <w:style w:type="character" w:customStyle="1" w:styleId="TitreCar">
    <w:name w:val="Titre Car"/>
    <w:basedOn w:val="Policepardfaut"/>
    <w:link w:val="Titre"/>
    <w:uiPriority w:val="10"/>
    <w:rsid w:val="00366A8F"/>
    <w:rPr>
      <w:rFonts w:ascii="Calibri" w:eastAsiaTheme="majorEastAsia" w:hAnsi="Calibri" w:cstheme="majorBidi"/>
      <w:spacing w:val="-10"/>
      <w:kern w:val="28"/>
      <w:sz w:val="24"/>
      <w:szCs w:val="56"/>
    </w:rPr>
  </w:style>
  <w:style w:type="character" w:customStyle="1" w:styleId="Titre3Car">
    <w:name w:val="Titre 3 Car"/>
    <w:basedOn w:val="Policepardfaut"/>
    <w:link w:val="Titre3"/>
    <w:uiPriority w:val="9"/>
    <w:rsid w:val="00490CB3"/>
    <w:rPr>
      <w:rFonts w:ascii="Calibri" w:eastAsiaTheme="majorEastAsia" w:hAnsi="Calibri" w:cstheme="majorBidi"/>
      <w:sz w:val="24"/>
      <w:szCs w:val="26"/>
    </w:rPr>
  </w:style>
  <w:style w:type="character" w:customStyle="1" w:styleId="Titre4Car">
    <w:name w:val="Titre 4 Car"/>
    <w:basedOn w:val="Policepardfaut"/>
    <w:link w:val="Titre4"/>
    <w:uiPriority w:val="9"/>
    <w:rsid w:val="00E57C74"/>
    <w:rPr>
      <w:rFonts w:ascii="Calibri" w:eastAsiaTheme="majorEastAsia" w:hAnsi="Calibri" w:cstheme="majorBidi"/>
      <w:spacing w:val="-10"/>
      <w:kern w:val="28"/>
      <w:sz w:val="24"/>
      <w:szCs w:val="56"/>
    </w:rPr>
  </w:style>
  <w:style w:type="paragraph" w:customStyle="1" w:styleId="Style1">
    <w:name w:val="Style1"/>
    <w:basedOn w:val="Titre"/>
    <w:link w:val="Style1Car"/>
    <w:qFormat/>
    <w:rsid w:val="00F70DC2"/>
  </w:style>
  <w:style w:type="character" w:customStyle="1" w:styleId="Style1Car">
    <w:name w:val="Style1 Car"/>
    <w:basedOn w:val="TitreCar"/>
    <w:link w:val="Style1"/>
    <w:rsid w:val="00F70DC2"/>
    <w:rPr>
      <w:rFonts w:ascii="Calibri" w:eastAsiaTheme="majorEastAsia" w:hAnsi="Calibri" w:cstheme="majorBidi"/>
      <w:spacing w:val="-10"/>
      <w:kern w:val="28"/>
      <w:sz w:val="24"/>
      <w:szCs w:val="56"/>
    </w:rPr>
  </w:style>
  <w:style w:type="paragraph" w:customStyle="1" w:styleId="Style2">
    <w:name w:val="Style2"/>
    <w:basedOn w:val="Titre1"/>
    <w:link w:val="Style2Car"/>
    <w:autoRedefine/>
    <w:qFormat/>
    <w:rsid w:val="00F70DC2"/>
    <w:pPr>
      <w:numPr>
        <w:numId w:val="0"/>
      </w:numPr>
      <w:ind w:left="432" w:hanging="432"/>
    </w:pPr>
  </w:style>
  <w:style w:type="character" w:customStyle="1" w:styleId="Style2Car">
    <w:name w:val="Style2 Car"/>
    <w:basedOn w:val="Titre1Car"/>
    <w:link w:val="Style2"/>
    <w:rsid w:val="00F70DC2"/>
    <w:rPr>
      <w:rFonts w:ascii="Calibri" w:eastAsiaTheme="majorEastAsia" w:hAnsi="Calibri" w:cstheme="majorBidi"/>
      <w:b/>
      <w:sz w:val="24"/>
      <w:szCs w:val="32"/>
    </w:rPr>
  </w:style>
  <w:style w:type="numbering" w:customStyle="1" w:styleId="Style3">
    <w:name w:val="Style3"/>
    <w:uiPriority w:val="99"/>
    <w:rsid w:val="00490CB3"/>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978614">
      <w:bodyDiv w:val="1"/>
      <w:marLeft w:val="0"/>
      <w:marRight w:val="0"/>
      <w:marTop w:val="0"/>
      <w:marBottom w:val="0"/>
      <w:divBdr>
        <w:top w:val="none" w:sz="0" w:space="0" w:color="auto"/>
        <w:left w:val="none" w:sz="0" w:space="0" w:color="auto"/>
        <w:bottom w:val="none" w:sz="0" w:space="0" w:color="auto"/>
        <w:right w:val="none" w:sz="0" w:space="0" w:color="auto"/>
      </w:divBdr>
      <w:divsChild>
        <w:div w:id="344793166">
          <w:marLeft w:val="0"/>
          <w:marRight w:val="0"/>
          <w:marTop w:val="0"/>
          <w:marBottom w:val="300"/>
          <w:divBdr>
            <w:top w:val="none" w:sz="0" w:space="0" w:color="auto"/>
            <w:left w:val="none" w:sz="0" w:space="0" w:color="auto"/>
            <w:bottom w:val="none" w:sz="0" w:space="0" w:color="auto"/>
            <w:right w:val="none" w:sz="0" w:space="0" w:color="auto"/>
          </w:divBdr>
        </w:div>
        <w:div w:id="1621379411">
          <w:marLeft w:val="0"/>
          <w:marRight w:val="0"/>
          <w:marTop w:val="0"/>
          <w:marBottom w:val="0"/>
          <w:divBdr>
            <w:top w:val="none" w:sz="0" w:space="0" w:color="auto"/>
            <w:left w:val="none" w:sz="0" w:space="0" w:color="auto"/>
            <w:bottom w:val="none" w:sz="0" w:space="0" w:color="auto"/>
            <w:right w:val="none" w:sz="0" w:space="0" w:color="auto"/>
          </w:divBdr>
          <w:divsChild>
            <w:div w:id="1419718939">
              <w:marLeft w:val="0"/>
              <w:marRight w:val="0"/>
              <w:marTop w:val="0"/>
              <w:marBottom w:val="0"/>
              <w:divBdr>
                <w:top w:val="none" w:sz="0" w:space="0" w:color="auto"/>
                <w:left w:val="none" w:sz="0" w:space="0" w:color="auto"/>
                <w:bottom w:val="none" w:sz="0" w:space="0" w:color="auto"/>
                <w:right w:val="none" w:sz="0" w:space="0" w:color="auto"/>
              </w:divBdr>
              <w:divsChild>
                <w:div w:id="76367495">
                  <w:marLeft w:val="0"/>
                  <w:marRight w:val="0"/>
                  <w:marTop w:val="0"/>
                  <w:marBottom w:val="0"/>
                  <w:divBdr>
                    <w:top w:val="none" w:sz="0" w:space="0" w:color="auto"/>
                    <w:left w:val="none" w:sz="0" w:space="0" w:color="auto"/>
                    <w:bottom w:val="none" w:sz="0" w:space="0" w:color="auto"/>
                    <w:right w:val="none" w:sz="0" w:space="0" w:color="auto"/>
                  </w:divBdr>
                  <w:divsChild>
                    <w:div w:id="197354480">
                      <w:marLeft w:val="0"/>
                      <w:marRight w:val="0"/>
                      <w:marTop w:val="0"/>
                      <w:marBottom w:val="0"/>
                      <w:divBdr>
                        <w:top w:val="none" w:sz="0" w:space="0" w:color="auto"/>
                        <w:left w:val="none" w:sz="0" w:space="0" w:color="auto"/>
                        <w:bottom w:val="none" w:sz="0" w:space="0" w:color="auto"/>
                        <w:right w:val="none" w:sz="0" w:space="0" w:color="auto"/>
                      </w:divBdr>
                      <w:divsChild>
                        <w:div w:id="714547599">
                          <w:marLeft w:val="0"/>
                          <w:marRight w:val="0"/>
                          <w:marTop w:val="0"/>
                          <w:marBottom w:val="0"/>
                          <w:divBdr>
                            <w:top w:val="none" w:sz="0" w:space="0" w:color="auto"/>
                            <w:left w:val="none" w:sz="0" w:space="0" w:color="auto"/>
                            <w:bottom w:val="none" w:sz="0" w:space="0" w:color="auto"/>
                            <w:right w:val="none" w:sz="0" w:space="0" w:color="auto"/>
                          </w:divBdr>
                          <w:divsChild>
                            <w:div w:id="381758638">
                              <w:marLeft w:val="0"/>
                              <w:marRight w:val="0"/>
                              <w:marTop w:val="0"/>
                              <w:marBottom w:val="0"/>
                              <w:divBdr>
                                <w:top w:val="none" w:sz="0" w:space="0" w:color="auto"/>
                                <w:left w:val="none" w:sz="0" w:space="0" w:color="auto"/>
                                <w:bottom w:val="none" w:sz="0" w:space="0" w:color="auto"/>
                                <w:right w:val="none" w:sz="0" w:space="0" w:color="auto"/>
                              </w:divBdr>
                              <w:divsChild>
                                <w:div w:id="18486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lise.catholique.fr/glossaire/encyclique" TargetMode="External"/><Relationship Id="rId3" Type="http://schemas.openxmlformats.org/officeDocument/2006/relationships/settings" Target="settings.xml"/><Relationship Id="rId7" Type="http://schemas.openxmlformats.org/officeDocument/2006/relationships/hyperlink" Target="https://eglise.catholique.fr/glossaire/encycliqu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glise.catholique.fr/glossaire/vatican-ii" TargetMode="External"/><Relationship Id="rId11" Type="http://schemas.openxmlformats.org/officeDocument/2006/relationships/fontTable" Target="fontTable.xml"/><Relationship Id="rId5" Type="http://schemas.openxmlformats.org/officeDocument/2006/relationships/hyperlink" Target="https://eglise.catholique.fr/glossaire/concile" TargetMode="External"/><Relationship Id="rId10" Type="http://schemas.openxmlformats.org/officeDocument/2006/relationships/hyperlink" Target="https://eglise.catholique.fr/glossaire/vatican-ii" TargetMode="External"/><Relationship Id="rId4" Type="http://schemas.openxmlformats.org/officeDocument/2006/relationships/webSettings" Target="webSettings.xml"/><Relationship Id="rId9" Type="http://schemas.openxmlformats.org/officeDocument/2006/relationships/hyperlink" Target="https://eglise.catholique.fr/glossaire/conci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3612</Characters>
  <Application>Microsoft Office Word</Application>
  <DocSecurity>0</DocSecurity>
  <Lines>30</Lines>
  <Paragraphs>8</Paragraphs>
  <ScaleCrop>false</ScaleCrop>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2021-01-14T10:55:00Z</dcterms:created>
  <dcterms:modified xsi:type="dcterms:W3CDTF">2021-01-14T10:55:00Z</dcterms:modified>
</cp:coreProperties>
</file>